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87" w:type="dxa"/>
        <w:jc w:val="center"/>
        <w:tblInd w:w="-1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hemeFill="text2" w:themeFillTint="33"/>
        <w:tblLook w:val="04A0"/>
      </w:tblPr>
      <w:tblGrid>
        <w:gridCol w:w="5529"/>
        <w:gridCol w:w="3959"/>
        <w:gridCol w:w="878"/>
        <w:gridCol w:w="2423"/>
        <w:gridCol w:w="1049"/>
        <w:gridCol w:w="1049"/>
      </w:tblGrid>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6.2 EDLs finalised and drug formulary published and made available in all public health facilities, Overall procurement and logistics strategy in place. Detailed design and plan for rate contracting, regular stock up dates, indent management, warehousing, promotion of rational drug use, contingency funds with devolution of financial powers etc. in place.</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EDL, procurement and logistic system as described in column 1, in place: Yes/No</w:t>
            </w:r>
          </w:p>
        </w:tc>
        <w:tc>
          <w:tcPr>
            <w:tcW w:w="878"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2423"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6.3 Free drug availability</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w:t>
            </w:r>
            <w:r>
              <w:rPr>
                <w:rFonts w:eastAsia="Times New Roman" w:cstheme="minorHAnsi"/>
                <w:lang w:eastAsia="en-IN"/>
              </w:rPr>
              <w:t>C</w:t>
            </w:r>
            <w:r w:rsidRPr="00A32FA0">
              <w:rPr>
                <w:rFonts w:eastAsia="Times New Roman" w:cstheme="minorHAnsi"/>
                <w:lang w:eastAsia="en-IN"/>
              </w:rPr>
              <w:t>lients availing free drugs</w:t>
            </w:r>
          </w:p>
        </w:tc>
        <w:tc>
          <w:tcPr>
            <w:tcW w:w="878"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2423" w:type="dxa"/>
            <w:shd w:val="clear" w:color="auto" w:fill="auto"/>
            <w:hideMark/>
          </w:tcPr>
          <w:p w:rsidR="00837D41" w:rsidRPr="00A32FA0" w:rsidRDefault="00837D41" w:rsidP="00501C34">
            <w:pPr>
              <w:spacing w:before="40" w:after="40" w:line="262" w:lineRule="auto"/>
              <w:jc w:val="both"/>
              <w:rPr>
                <w:rFonts w:eastAsia="Times New Roman" w:cstheme="minorHAnsi"/>
                <w:highlight w:val="yellow"/>
                <w:lang w:eastAsia="en-IN"/>
              </w:rPr>
            </w:pPr>
          </w:p>
        </w:tc>
        <w:tc>
          <w:tcPr>
            <w:tcW w:w="1049" w:type="dxa"/>
          </w:tcPr>
          <w:p w:rsidR="00837D41" w:rsidRPr="00A32FA0" w:rsidRDefault="00837D41" w:rsidP="00501C34">
            <w:pPr>
              <w:spacing w:before="40" w:after="40" w:line="262" w:lineRule="auto"/>
              <w:jc w:val="both"/>
              <w:rPr>
                <w:rFonts w:eastAsia="Times New Roman" w:cstheme="minorHAnsi"/>
                <w:highlight w:val="yellow"/>
                <w:lang w:eastAsia="en-IN"/>
              </w:rPr>
            </w:pPr>
          </w:p>
        </w:tc>
        <w:tc>
          <w:tcPr>
            <w:tcW w:w="1049" w:type="dxa"/>
          </w:tcPr>
          <w:p w:rsidR="00837D41" w:rsidRPr="00A32FA0" w:rsidRDefault="00837D41" w:rsidP="00501C34">
            <w:pPr>
              <w:spacing w:before="40" w:after="40" w:line="262" w:lineRule="auto"/>
              <w:jc w:val="both"/>
              <w:rPr>
                <w:rFonts w:eastAsia="Times New Roman" w:cstheme="minorHAnsi"/>
                <w:highlight w:val="yellow"/>
                <w:lang w:eastAsia="en-IN"/>
              </w:rPr>
            </w:pPr>
          </w:p>
        </w:tc>
      </w:tr>
      <w:tr w:rsidR="00837D41" w:rsidRPr="00A32FA0" w:rsidTr="00937C0F">
        <w:trPr>
          <w:trHeight w:val="20"/>
          <w:jc w:val="center"/>
        </w:trPr>
        <w:tc>
          <w:tcPr>
            <w:tcW w:w="5529" w:type="dxa"/>
            <w:shd w:val="clear" w:color="auto" w:fill="DDD9C3" w:themeFill="background2" w:themeFillShade="E6"/>
            <w:hideMark/>
          </w:tcPr>
          <w:p w:rsidR="00837D41" w:rsidRPr="0085039B" w:rsidRDefault="00837D41" w:rsidP="00837D41">
            <w:pPr>
              <w:pStyle w:val="ListParagraph"/>
              <w:numPr>
                <w:ilvl w:val="0"/>
                <w:numId w:val="1"/>
              </w:numPr>
              <w:spacing w:before="40" w:after="40" w:line="262" w:lineRule="auto"/>
              <w:ind w:left="530"/>
              <w:jc w:val="both"/>
              <w:rPr>
                <w:rFonts w:eastAsia="Times New Roman" w:cstheme="minorHAnsi"/>
                <w:b/>
                <w:lang w:eastAsia="en-IN"/>
              </w:rPr>
            </w:pPr>
            <w:r w:rsidRPr="0085039B">
              <w:rPr>
                <w:rFonts w:eastAsia="Times New Roman" w:cstheme="minorHAnsi"/>
                <w:b/>
                <w:lang w:eastAsia="en-IN"/>
              </w:rPr>
              <w:t xml:space="preserve">Timely roll out of RBSK </w:t>
            </w:r>
          </w:p>
        </w:tc>
        <w:tc>
          <w:tcPr>
            <w:tcW w:w="3959"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lang w:eastAsia="en-IN"/>
              </w:rPr>
            </w:pPr>
          </w:p>
        </w:tc>
        <w:tc>
          <w:tcPr>
            <w:tcW w:w="878"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lang w:eastAsia="en-IN"/>
              </w:rPr>
            </w:pPr>
          </w:p>
        </w:tc>
        <w:tc>
          <w:tcPr>
            <w:tcW w:w="2423"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lang w:eastAsia="en-IN"/>
              </w:rPr>
            </w:pPr>
          </w:p>
        </w:tc>
        <w:tc>
          <w:tcPr>
            <w:tcW w:w="1049" w:type="dxa"/>
            <w:shd w:val="clear" w:color="auto" w:fill="DDD9C3" w:themeFill="background2" w:themeFillShade="E6"/>
          </w:tcPr>
          <w:p w:rsidR="00837D41" w:rsidRPr="00A32FA0" w:rsidRDefault="00837D41" w:rsidP="00501C34">
            <w:pPr>
              <w:spacing w:before="40" w:after="40" w:line="262" w:lineRule="auto"/>
              <w:jc w:val="both"/>
              <w:rPr>
                <w:rFonts w:eastAsia="Times New Roman" w:cstheme="minorHAnsi"/>
                <w:b/>
                <w:lang w:eastAsia="en-IN"/>
              </w:rPr>
            </w:pPr>
          </w:p>
        </w:tc>
        <w:tc>
          <w:tcPr>
            <w:tcW w:w="1049" w:type="dxa"/>
            <w:shd w:val="clear" w:color="auto" w:fill="DDD9C3" w:themeFill="background2" w:themeFillShade="E6"/>
          </w:tcPr>
          <w:p w:rsidR="00837D41" w:rsidRPr="00A32FA0" w:rsidRDefault="00837D41" w:rsidP="00501C34">
            <w:pPr>
              <w:spacing w:before="40" w:after="40" w:line="262" w:lineRule="auto"/>
              <w:jc w:val="both"/>
              <w:rPr>
                <w:rFonts w:eastAsia="Times New Roman" w:cstheme="minorHAnsi"/>
                <w:b/>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 xml:space="preserve">7.1 RBSK roll –out plan in line </w:t>
            </w:r>
            <w:proofErr w:type="spellStart"/>
            <w:r w:rsidRPr="00A32FA0">
              <w:rPr>
                <w:rFonts w:eastAsia="Times New Roman" w:cstheme="minorHAnsi"/>
                <w:lang w:eastAsia="en-IN"/>
              </w:rPr>
              <w:t>GoI</w:t>
            </w:r>
            <w:proofErr w:type="spellEnd"/>
            <w:r w:rsidRPr="00A32FA0">
              <w:rPr>
                <w:rFonts w:eastAsia="Times New Roman" w:cstheme="minorHAnsi"/>
                <w:lang w:eastAsia="en-IN"/>
              </w:rPr>
              <w:t xml:space="preserve"> guidelines in place</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Roll-out plan in place: yes/no</w:t>
            </w:r>
          </w:p>
        </w:tc>
        <w:tc>
          <w:tcPr>
            <w:tcW w:w="878"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2423"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7.2 RBSK teams recruited and trained</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 xml:space="preserve">%HR </w:t>
            </w:r>
            <w:proofErr w:type="spellStart"/>
            <w:r w:rsidRPr="00A32FA0">
              <w:rPr>
                <w:rFonts w:eastAsia="Times New Roman" w:cstheme="minorHAnsi"/>
                <w:lang w:eastAsia="en-IN"/>
              </w:rPr>
              <w:t>recruitedfor</w:t>
            </w:r>
            <w:proofErr w:type="spellEnd"/>
            <w:r w:rsidRPr="00A32FA0">
              <w:rPr>
                <w:rFonts w:eastAsia="Times New Roman" w:cstheme="minorHAnsi"/>
                <w:lang w:eastAsia="en-IN"/>
              </w:rPr>
              <w:t xml:space="preserve"> RBSK </w:t>
            </w:r>
          </w:p>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%RBSK-HR trained</w:t>
            </w:r>
          </w:p>
        </w:tc>
        <w:tc>
          <w:tcPr>
            <w:tcW w:w="878"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2423"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 xml:space="preserve">7.3 Children (including children in </w:t>
            </w:r>
            <w:proofErr w:type="spellStart"/>
            <w:r w:rsidRPr="00A32FA0">
              <w:rPr>
                <w:rFonts w:eastAsia="Times New Roman" w:cstheme="minorHAnsi"/>
                <w:lang w:eastAsia="en-IN"/>
              </w:rPr>
              <w:t>anganwadis</w:t>
            </w:r>
            <w:proofErr w:type="spellEnd"/>
            <w:r w:rsidRPr="00A32FA0">
              <w:rPr>
                <w:rFonts w:eastAsia="Times New Roman" w:cstheme="minorHAnsi"/>
                <w:lang w:eastAsia="en-IN"/>
              </w:rPr>
              <w:t>) screened</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 xml:space="preserve">% </w:t>
            </w:r>
            <w:proofErr w:type="spellStart"/>
            <w:r w:rsidRPr="00A32FA0">
              <w:rPr>
                <w:rFonts w:eastAsia="Times New Roman" w:cstheme="minorHAnsi"/>
                <w:lang w:eastAsia="en-IN"/>
              </w:rPr>
              <w:t>Anganwadi</w:t>
            </w:r>
            <w:proofErr w:type="spellEnd"/>
            <w:r w:rsidRPr="00A32FA0">
              <w:rPr>
                <w:rFonts w:eastAsia="Times New Roman" w:cstheme="minorHAnsi"/>
                <w:lang w:eastAsia="en-IN"/>
              </w:rPr>
              <w:t xml:space="preserve"> children screened by RBSK teams</w:t>
            </w:r>
          </w:p>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 xml:space="preserve">% </w:t>
            </w:r>
            <w:proofErr w:type="spellStart"/>
            <w:r>
              <w:rPr>
                <w:rFonts w:eastAsia="Times New Roman" w:cstheme="minorHAnsi"/>
                <w:lang w:eastAsia="en-IN"/>
              </w:rPr>
              <w:t>T</w:t>
            </w:r>
            <w:r w:rsidRPr="00A32FA0">
              <w:rPr>
                <w:rFonts w:eastAsia="Times New Roman" w:cstheme="minorHAnsi"/>
                <w:lang w:eastAsia="en-IN"/>
              </w:rPr>
              <w:t>argetschool</w:t>
            </w:r>
            <w:proofErr w:type="spellEnd"/>
            <w:r w:rsidRPr="00A32FA0">
              <w:rPr>
                <w:rFonts w:eastAsia="Times New Roman" w:cstheme="minorHAnsi"/>
                <w:lang w:eastAsia="en-IN"/>
              </w:rPr>
              <w:t xml:space="preserve"> children screened</w:t>
            </w:r>
          </w:p>
        </w:tc>
        <w:tc>
          <w:tcPr>
            <w:tcW w:w="878"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2423"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7.4 Empanelment of public and private secondary and tertiary facilities for referral</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w:t>
            </w:r>
            <w:r>
              <w:rPr>
                <w:rFonts w:eastAsia="Times New Roman" w:cstheme="minorHAnsi"/>
                <w:lang w:eastAsia="en-IN"/>
              </w:rPr>
              <w:t>C</w:t>
            </w:r>
            <w:r w:rsidRPr="00A32FA0">
              <w:rPr>
                <w:rFonts w:eastAsia="Times New Roman" w:cstheme="minorHAnsi"/>
                <w:lang w:eastAsia="en-IN"/>
              </w:rPr>
              <w:t>hildren referred to secondary facilities</w:t>
            </w:r>
          </w:p>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w:t>
            </w:r>
            <w:r>
              <w:rPr>
                <w:rFonts w:eastAsia="Times New Roman" w:cstheme="minorHAnsi"/>
                <w:lang w:eastAsia="en-IN"/>
              </w:rPr>
              <w:t>C</w:t>
            </w:r>
            <w:r w:rsidRPr="00A32FA0">
              <w:rPr>
                <w:rFonts w:eastAsia="Times New Roman" w:cstheme="minorHAnsi"/>
                <w:lang w:eastAsia="en-IN"/>
              </w:rPr>
              <w:t>hildren referred to secondary facilities</w:t>
            </w:r>
          </w:p>
        </w:tc>
        <w:tc>
          <w:tcPr>
            <w:tcW w:w="878"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2423"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c>
          <w:tcPr>
            <w:tcW w:w="1049" w:type="dxa"/>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DDD9C3" w:themeFill="background2" w:themeFillShade="E6"/>
            <w:hideMark/>
          </w:tcPr>
          <w:p w:rsidR="00837D41" w:rsidRPr="0085039B" w:rsidRDefault="00837D41" w:rsidP="00837D41">
            <w:pPr>
              <w:pStyle w:val="ListParagraph"/>
              <w:numPr>
                <w:ilvl w:val="0"/>
                <w:numId w:val="1"/>
              </w:numPr>
              <w:spacing w:before="40" w:after="40" w:line="262" w:lineRule="auto"/>
              <w:ind w:left="530"/>
              <w:jc w:val="both"/>
              <w:rPr>
                <w:rFonts w:eastAsia="Times New Roman" w:cstheme="minorHAnsi"/>
                <w:b/>
                <w:lang w:eastAsia="en-IN"/>
              </w:rPr>
            </w:pPr>
            <w:r w:rsidRPr="0085039B">
              <w:rPr>
                <w:rFonts w:eastAsia="Times New Roman" w:cstheme="minorHAnsi"/>
                <w:b/>
                <w:lang w:eastAsia="en-IN"/>
              </w:rPr>
              <w:t xml:space="preserve">Adopting Clinical Establishment Act 2010 as per State’s/UT’s requirement, to regulate the quality and cost of health care in different public and private health facilities </w:t>
            </w:r>
          </w:p>
        </w:tc>
        <w:tc>
          <w:tcPr>
            <w:tcW w:w="3959"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lang w:eastAsia="en-IN"/>
              </w:rPr>
            </w:pPr>
          </w:p>
        </w:tc>
        <w:tc>
          <w:tcPr>
            <w:tcW w:w="878"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lang w:eastAsia="en-IN"/>
              </w:rPr>
            </w:pPr>
          </w:p>
        </w:tc>
        <w:tc>
          <w:tcPr>
            <w:tcW w:w="2423"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highlight w:val="yellow"/>
                <w:lang w:eastAsia="en-IN"/>
              </w:rPr>
            </w:pPr>
          </w:p>
        </w:tc>
        <w:tc>
          <w:tcPr>
            <w:tcW w:w="1049" w:type="dxa"/>
            <w:shd w:val="clear" w:color="auto" w:fill="DDD9C3" w:themeFill="background2" w:themeFillShade="E6"/>
          </w:tcPr>
          <w:p w:rsidR="00837D41" w:rsidRPr="00A32FA0" w:rsidRDefault="00837D41" w:rsidP="00501C34">
            <w:pPr>
              <w:spacing w:before="40" w:after="40" w:line="262" w:lineRule="auto"/>
              <w:jc w:val="both"/>
              <w:rPr>
                <w:rFonts w:eastAsia="Times New Roman" w:cstheme="minorHAnsi"/>
                <w:b/>
                <w:highlight w:val="yellow"/>
                <w:lang w:eastAsia="en-IN"/>
              </w:rPr>
            </w:pPr>
          </w:p>
        </w:tc>
        <w:tc>
          <w:tcPr>
            <w:tcW w:w="1049" w:type="dxa"/>
            <w:shd w:val="clear" w:color="auto" w:fill="DDD9C3" w:themeFill="background2" w:themeFillShade="E6"/>
          </w:tcPr>
          <w:p w:rsidR="00837D41" w:rsidRPr="00A32FA0" w:rsidRDefault="00837D41" w:rsidP="00501C34">
            <w:pPr>
              <w:spacing w:before="40" w:after="40" w:line="262" w:lineRule="auto"/>
              <w:jc w:val="both"/>
              <w:rPr>
                <w:rFonts w:eastAsia="Times New Roman" w:cstheme="minorHAnsi"/>
                <w:b/>
                <w:highlight w:val="yellow"/>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8.1 Adoption of Clinical Establishment Act 2010 or similar Act</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proofErr w:type="spellStart"/>
            <w:r w:rsidRPr="00A32FA0">
              <w:rPr>
                <w:rFonts w:eastAsia="Times New Roman" w:cstheme="minorHAnsi"/>
                <w:lang w:eastAsia="en-IN"/>
              </w:rPr>
              <w:t>Actin</w:t>
            </w:r>
            <w:proofErr w:type="spellEnd"/>
            <w:r w:rsidRPr="00A32FA0">
              <w:rPr>
                <w:rFonts w:eastAsia="Times New Roman" w:cstheme="minorHAnsi"/>
                <w:lang w:eastAsia="en-IN"/>
              </w:rPr>
              <w:t xml:space="preserve"> place: yes/no</w:t>
            </w:r>
          </w:p>
        </w:tc>
        <w:tc>
          <w:tcPr>
            <w:tcW w:w="878" w:type="dxa"/>
            <w:shd w:val="clear" w:color="auto" w:fill="auto"/>
            <w:hideMark/>
          </w:tcPr>
          <w:p w:rsidR="00837D41" w:rsidRPr="00A32FA0" w:rsidRDefault="00FB23A8" w:rsidP="00501C34">
            <w:pPr>
              <w:spacing w:before="40" w:after="40" w:line="262" w:lineRule="auto"/>
              <w:jc w:val="both"/>
              <w:rPr>
                <w:rFonts w:eastAsia="Times New Roman" w:cstheme="minorHAnsi"/>
                <w:lang w:eastAsia="en-IN"/>
              </w:rPr>
            </w:pPr>
            <w:r>
              <w:rPr>
                <w:rFonts w:eastAsia="Times New Roman" w:cstheme="minorHAnsi"/>
                <w:lang w:eastAsia="en-IN"/>
              </w:rPr>
              <w:t>Yes</w:t>
            </w:r>
          </w:p>
        </w:tc>
        <w:tc>
          <w:tcPr>
            <w:tcW w:w="2423" w:type="dxa"/>
            <w:shd w:val="clear" w:color="auto" w:fill="FFFFFF" w:themeFill="background1"/>
            <w:hideMark/>
          </w:tcPr>
          <w:p w:rsidR="00837D41" w:rsidRPr="00A32FA0" w:rsidRDefault="00FB23A8" w:rsidP="00501C34">
            <w:pPr>
              <w:spacing w:before="40" w:after="40" w:line="262" w:lineRule="auto"/>
              <w:jc w:val="both"/>
              <w:rPr>
                <w:rFonts w:eastAsia="Times New Roman" w:cstheme="minorHAnsi"/>
                <w:lang w:eastAsia="en-IN"/>
              </w:rPr>
            </w:pPr>
            <w:r>
              <w:rPr>
                <w:rFonts w:eastAsia="Times New Roman" w:cstheme="minorHAnsi"/>
                <w:lang w:eastAsia="en-IN"/>
              </w:rPr>
              <w:t>Yes</w:t>
            </w:r>
          </w:p>
        </w:tc>
        <w:tc>
          <w:tcPr>
            <w:tcW w:w="1049" w:type="dxa"/>
            <w:shd w:val="clear" w:color="auto" w:fill="FFFFFF" w:themeFill="background1"/>
          </w:tcPr>
          <w:p w:rsidR="00837D41" w:rsidRPr="00A32FA0" w:rsidRDefault="00837D41" w:rsidP="00501C34">
            <w:pPr>
              <w:spacing w:before="40" w:after="40" w:line="262" w:lineRule="auto"/>
              <w:jc w:val="both"/>
              <w:rPr>
                <w:rFonts w:eastAsia="Times New Roman" w:cstheme="minorHAnsi"/>
                <w:lang w:eastAsia="en-IN"/>
              </w:rPr>
            </w:pPr>
          </w:p>
        </w:tc>
        <w:tc>
          <w:tcPr>
            <w:tcW w:w="1049" w:type="dxa"/>
            <w:shd w:val="clear" w:color="auto" w:fill="FFFFFF" w:themeFill="background1"/>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8.2 Rules and regulations framed for Clinical Establishment Act 2010</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Rules and regulations framed: yes/no</w:t>
            </w:r>
          </w:p>
        </w:tc>
        <w:tc>
          <w:tcPr>
            <w:tcW w:w="878" w:type="dxa"/>
            <w:shd w:val="clear" w:color="auto" w:fill="auto"/>
            <w:hideMark/>
          </w:tcPr>
          <w:p w:rsidR="00837D41" w:rsidRPr="00A32FA0" w:rsidRDefault="00FB23A8" w:rsidP="00501C34">
            <w:pPr>
              <w:spacing w:before="40" w:after="40" w:line="262" w:lineRule="auto"/>
              <w:jc w:val="both"/>
              <w:rPr>
                <w:rFonts w:eastAsia="Times New Roman" w:cstheme="minorHAnsi"/>
                <w:lang w:eastAsia="en-IN"/>
              </w:rPr>
            </w:pPr>
            <w:r>
              <w:rPr>
                <w:rFonts w:eastAsia="Times New Roman" w:cstheme="minorHAnsi"/>
                <w:lang w:eastAsia="en-IN"/>
              </w:rPr>
              <w:t>No</w:t>
            </w:r>
          </w:p>
        </w:tc>
        <w:tc>
          <w:tcPr>
            <w:tcW w:w="2423" w:type="dxa"/>
            <w:shd w:val="clear" w:color="auto" w:fill="FFFFFF" w:themeFill="background1"/>
            <w:hideMark/>
          </w:tcPr>
          <w:p w:rsidR="00837D41" w:rsidRPr="00A32FA0" w:rsidRDefault="001014E7" w:rsidP="00501C34">
            <w:pPr>
              <w:spacing w:before="40" w:after="40" w:line="262" w:lineRule="auto"/>
              <w:jc w:val="both"/>
              <w:rPr>
                <w:rFonts w:eastAsia="Times New Roman" w:cstheme="minorHAnsi"/>
                <w:lang w:eastAsia="en-IN"/>
              </w:rPr>
            </w:pPr>
            <w:r>
              <w:rPr>
                <w:rFonts w:eastAsia="Times New Roman" w:cstheme="minorHAnsi"/>
                <w:lang w:eastAsia="en-IN"/>
              </w:rPr>
              <w:t>Framing of rules &amp; regulation is in process</w:t>
            </w:r>
          </w:p>
        </w:tc>
        <w:tc>
          <w:tcPr>
            <w:tcW w:w="1049" w:type="dxa"/>
            <w:shd w:val="clear" w:color="auto" w:fill="FFFFFF" w:themeFill="background1"/>
          </w:tcPr>
          <w:p w:rsidR="00837D41" w:rsidRPr="00A32FA0" w:rsidRDefault="00837D41" w:rsidP="00501C34">
            <w:pPr>
              <w:spacing w:before="40" w:after="40" w:line="262" w:lineRule="auto"/>
              <w:jc w:val="both"/>
              <w:rPr>
                <w:rFonts w:eastAsia="Times New Roman" w:cstheme="minorHAnsi"/>
                <w:lang w:eastAsia="en-IN"/>
              </w:rPr>
            </w:pPr>
          </w:p>
        </w:tc>
        <w:tc>
          <w:tcPr>
            <w:tcW w:w="1049" w:type="dxa"/>
            <w:shd w:val="clear" w:color="auto" w:fill="FFFFFF" w:themeFill="background1"/>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8.3 Institutional /regulatory framework set-up</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Regulatory framework set –up</w:t>
            </w:r>
            <w:r>
              <w:rPr>
                <w:rFonts w:eastAsia="Times New Roman" w:cstheme="minorHAnsi"/>
                <w:lang w:eastAsia="en-IN"/>
              </w:rPr>
              <w:t>:</w:t>
            </w:r>
            <w:r w:rsidRPr="00A32FA0">
              <w:rPr>
                <w:rFonts w:eastAsia="Times New Roman" w:cstheme="minorHAnsi"/>
                <w:lang w:eastAsia="en-IN"/>
              </w:rPr>
              <w:t xml:space="preserve"> Yes/No</w:t>
            </w:r>
          </w:p>
        </w:tc>
        <w:tc>
          <w:tcPr>
            <w:tcW w:w="878" w:type="dxa"/>
            <w:shd w:val="clear" w:color="auto" w:fill="auto"/>
            <w:hideMark/>
          </w:tcPr>
          <w:p w:rsidR="00837D41" w:rsidRPr="00A32FA0" w:rsidRDefault="001014E7" w:rsidP="00501C34">
            <w:pPr>
              <w:spacing w:before="40" w:after="40" w:line="262" w:lineRule="auto"/>
              <w:jc w:val="both"/>
              <w:rPr>
                <w:rFonts w:eastAsia="Times New Roman" w:cstheme="minorHAnsi"/>
                <w:lang w:eastAsia="en-IN"/>
              </w:rPr>
            </w:pPr>
            <w:r>
              <w:rPr>
                <w:rFonts w:eastAsia="Times New Roman" w:cstheme="minorHAnsi"/>
                <w:lang w:eastAsia="en-IN"/>
              </w:rPr>
              <w:t>No</w:t>
            </w:r>
          </w:p>
        </w:tc>
        <w:tc>
          <w:tcPr>
            <w:tcW w:w="2423" w:type="dxa"/>
            <w:shd w:val="clear" w:color="auto" w:fill="FFFFFF" w:themeFill="background1"/>
            <w:hideMark/>
          </w:tcPr>
          <w:p w:rsidR="00837D41" w:rsidRPr="00A32FA0" w:rsidRDefault="001014E7" w:rsidP="00501C34">
            <w:pPr>
              <w:spacing w:before="40" w:after="40" w:line="262" w:lineRule="auto"/>
              <w:jc w:val="both"/>
              <w:rPr>
                <w:rFonts w:eastAsia="Times New Roman" w:cstheme="minorHAnsi"/>
                <w:lang w:eastAsia="en-IN"/>
              </w:rPr>
            </w:pPr>
            <w:r>
              <w:rPr>
                <w:rFonts w:eastAsia="Times New Roman" w:cstheme="minorHAnsi"/>
                <w:lang w:eastAsia="en-IN"/>
              </w:rPr>
              <w:t>Is in process</w:t>
            </w:r>
          </w:p>
        </w:tc>
        <w:tc>
          <w:tcPr>
            <w:tcW w:w="1049" w:type="dxa"/>
            <w:shd w:val="clear" w:color="auto" w:fill="FFFFFF" w:themeFill="background1"/>
          </w:tcPr>
          <w:p w:rsidR="00837D41" w:rsidRPr="00A32FA0" w:rsidRDefault="00837D41" w:rsidP="00501C34">
            <w:pPr>
              <w:spacing w:before="40" w:after="40" w:line="262" w:lineRule="auto"/>
              <w:jc w:val="both"/>
              <w:rPr>
                <w:rFonts w:eastAsia="Times New Roman" w:cstheme="minorHAnsi"/>
                <w:lang w:eastAsia="en-IN"/>
              </w:rPr>
            </w:pPr>
          </w:p>
        </w:tc>
        <w:tc>
          <w:tcPr>
            <w:tcW w:w="1049" w:type="dxa"/>
            <w:shd w:val="clear" w:color="auto" w:fill="FFFFFF" w:themeFill="background1"/>
          </w:tcPr>
          <w:p w:rsidR="00837D41" w:rsidRPr="00A32FA0" w:rsidRDefault="00837D41" w:rsidP="00501C34">
            <w:pPr>
              <w:spacing w:before="40" w:after="40" w:line="262" w:lineRule="auto"/>
              <w:jc w:val="both"/>
              <w:rPr>
                <w:rFonts w:eastAsia="Times New Roman" w:cstheme="minorHAnsi"/>
                <w:lang w:eastAsia="en-IN"/>
              </w:rPr>
            </w:pPr>
          </w:p>
        </w:tc>
      </w:tr>
      <w:tr w:rsidR="00837D41" w:rsidRPr="00A32FA0" w:rsidTr="00937C0F">
        <w:trPr>
          <w:trHeight w:val="20"/>
          <w:jc w:val="center"/>
        </w:trPr>
        <w:tc>
          <w:tcPr>
            <w:tcW w:w="5529" w:type="dxa"/>
            <w:shd w:val="clear" w:color="auto" w:fill="auto"/>
            <w:hideMark/>
          </w:tcPr>
          <w:p w:rsidR="00837D41" w:rsidRPr="00A32FA0" w:rsidRDefault="00837D41" w:rsidP="00501C34">
            <w:pPr>
              <w:spacing w:before="40" w:after="40" w:line="262" w:lineRule="auto"/>
              <w:ind w:left="530" w:hanging="180"/>
              <w:jc w:val="both"/>
              <w:rPr>
                <w:rFonts w:eastAsia="Times New Roman" w:cstheme="minorHAnsi"/>
                <w:lang w:eastAsia="en-IN"/>
              </w:rPr>
            </w:pPr>
            <w:r w:rsidRPr="00A32FA0">
              <w:rPr>
                <w:rFonts w:eastAsia="Times New Roman" w:cstheme="minorHAnsi"/>
                <w:lang w:eastAsia="en-IN"/>
              </w:rPr>
              <w:t>8.4 Capacity building of programme management staff/others involved in implementation of Clinical Establishment Act underway</w:t>
            </w:r>
          </w:p>
        </w:tc>
        <w:tc>
          <w:tcPr>
            <w:tcW w:w="3959" w:type="dxa"/>
            <w:shd w:val="clear" w:color="auto" w:fill="auto"/>
            <w:hideMark/>
          </w:tcPr>
          <w:p w:rsidR="00837D41" w:rsidRPr="00A32FA0" w:rsidRDefault="00837D41" w:rsidP="00501C34">
            <w:pPr>
              <w:spacing w:before="40" w:after="40" w:line="262" w:lineRule="auto"/>
              <w:jc w:val="both"/>
              <w:rPr>
                <w:rFonts w:eastAsia="Times New Roman" w:cstheme="minorHAnsi"/>
                <w:lang w:eastAsia="en-IN"/>
              </w:rPr>
            </w:pPr>
            <w:r w:rsidRPr="00A32FA0">
              <w:rPr>
                <w:rFonts w:eastAsia="Times New Roman" w:cstheme="minorHAnsi"/>
                <w:lang w:eastAsia="en-IN"/>
              </w:rPr>
              <w:t>%</w:t>
            </w:r>
            <w:r>
              <w:rPr>
                <w:rFonts w:eastAsia="Times New Roman" w:cstheme="minorHAnsi"/>
                <w:lang w:eastAsia="en-IN"/>
              </w:rPr>
              <w:t>T</w:t>
            </w:r>
            <w:r w:rsidRPr="00A32FA0">
              <w:rPr>
                <w:rFonts w:eastAsia="Times New Roman" w:cstheme="minorHAnsi"/>
                <w:lang w:eastAsia="en-IN"/>
              </w:rPr>
              <w:t>raining completed against the target</w:t>
            </w:r>
          </w:p>
        </w:tc>
        <w:tc>
          <w:tcPr>
            <w:tcW w:w="878" w:type="dxa"/>
            <w:shd w:val="clear" w:color="auto" w:fill="auto"/>
            <w:hideMark/>
          </w:tcPr>
          <w:p w:rsidR="00837D41" w:rsidRPr="00A32FA0" w:rsidRDefault="001014E7" w:rsidP="00501C34">
            <w:pPr>
              <w:spacing w:before="40" w:after="40" w:line="262" w:lineRule="auto"/>
              <w:jc w:val="both"/>
              <w:rPr>
                <w:rFonts w:eastAsia="Times New Roman" w:cstheme="minorHAnsi"/>
                <w:lang w:eastAsia="en-IN"/>
              </w:rPr>
            </w:pPr>
            <w:r>
              <w:rPr>
                <w:rFonts w:eastAsia="Times New Roman" w:cstheme="minorHAnsi"/>
                <w:lang w:eastAsia="en-IN"/>
              </w:rPr>
              <w:t>Nil</w:t>
            </w:r>
          </w:p>
        </w:tc>
        <w:tc>
          <w:tcPr>
            <w:tcW w:w="2423" w:type="dxa"/>
            <w:shd w:val="clear" w:color="auto" w:fill="auto"/>
            <w:hideMark/>
          </w:tcPr>
          <w:p w:rsidR="00837D41" w:rsidRPr="00A32FA0" w:rsidRDefault="0063634E" w:rsidP="00501C34">
            <w:pPr>
              <w:spacing w:before="40" w:after="40" w:line="262" w:lineRule="auto"/>
              <w:jc w:val="both"/>
              <w:rPr>
                <w:rFonts w:eastAsia="Times New Roman" w:cstheme="minorHAnsi"/>
                <w:highlight w:val="yellow"/>
                <w:lang w:eastAsia="en-IN"/>
              </w:rPr>
            </w:pPr>
            <w:r>
              <w:rPr>
                <w:rFonts w:eastAsia="Times New Roman" w:cstheme="minorHAnsi"/>
                <w:highlight w:val="yellow"/>
                <w:lang w:eastAsia="en-IN"/>
              </w:rPr>
              <w:t>70%</w:t>
            </w:r>
          </w:p>
        </w:tc>
        <w:tc>
          <w:tcPr>
            <w:tcW w:w="1049" w:type="dxa"/>
          </w:tcPr>
          <w:p w:rsidR="00837D41" w:rsidRPr="00A32FA0" w:rsidRDefault="00A4579C" w:rsidP="00501C34">
            <w:pPr>
              <w:spacing w:before="40" w:after="40" w:line="262" w:lineRule="auto"/>
              <w:jc w:val="both"/>
              <w:rPr>
                <w:rFonts w:eastAsia="Times New Roman" w:cstheme="minorHAnsi"/>
                <w:highlight w:val="yellow"/>
                <w:lang w:eastAsia="en-IN"/>
              </w:rPr>
            </w:pPr>
            <w:r>
              <w:rPr>
                <w:rFonts w:eastAsia="Times New Roman" w:cstheme="minorHAnsi"/>
                <w:highlight w:val="yellow"/>
                <w:lang w:eastAsia="en-IN"/>
              </w:rPr>
              <w:t>80%</w:t>
            </w:r>
          </w:p>
        </w:tc>
        <w:tc>
          <w:tcPr>
            <w:tcW w:w="1049" w:type="dxa"/>
          </w:tcPr>
          <w:p w:rsidR="00837D41" w:rsidRPr="00A32FA0" w:rsidRDefault="00A4579C" w:rsidP="00501C34">
            <w:pPr>
              <w:spacing w:before="40" w:after="40" w:line="262" w:lineRule="auto"/>
              <w:jc w:val="both"/>
              <w:rPr>
                <w:rFonts w:eastAsia="Times New Roman" w:cstheme="minorHAnsi"/>
                <w:highlight w:val="yellow"/>
                <w:lang w:eastAsia="en-IN"/>
              </w:rPr>
            </w:pPr>
            <w:r>
              <w:rPr>
                <w:rFonts w:eastAsia="Times New Roman" w:cstheme="minorHAnsi"/>
                <w:highlight w:val="yellow"/>
                <w:lang w:eastAsia="en-IN"/>
              </w:rPr>
              <w:t>90%</w:t>
            </w:r>
          </w:p>
        </w:tc>
      </w:tr>
      <w:tr w:rsidR="00837D41" w:rsidRPr="00A32FA0" w:rsidTr="00937C0F">
        <w:trPr>
          <w:trHeight w:val="20"/>
          <w:jc w:val="center"/>
        </w:trPr>
        <w:tc>
          <w:tcPr>
            <w:tcW w:w="5529" w:type="dxa"/>
            <w:shd w:val="clear" w:color="auto" w:fill="DDD9C3" w:themeFill="background2" w:themeFillShade="E6"/>
            <w:hideMark/>
          </w:tcPr>
          <w:p w:rsidR="00837D41" w:rsidRPr="00D753BA" w:rsidRDefault="00837D41" w:rsidP="00837D41">
            <w:pPr>
              <w:pStyle w:val="ListParagraph"/>
              <w:numPr>
                <w:ilvl w:val="0"/>
                <w:numId w:val="1"/>
              </w:numPr>
              <w:spacing w:before="40" w:after="40" w:line="262" w:lineRule="auto"/>
              <w:ind w:left="530"/>
              <w:jc w:val="both"/>
              <w:rPr>
                <w:rFonts w:eastAsia="Times New Roman" w:cstheme="minorHAnsi"/>
                <w:b/>
                <w:lang w:eastAsia="en-IN"/>
              </w:rPr>
            </w:pPr>
            <w:r w:rsidRPr="00D753BA">
              <w:rPr>
                <w:rFonts w:eastAsia="Times New Roman" w:cstheme="minorHAnsi"/>
                <w:b/>
                <w:lang w:eastAsia="en-IN"/>
              </w:rPr>
              <w:t>Increase in State annual health budget</w:t>
            </w:r>
          </w:p>
        </w:tc>
        <w:tc>
          <w:tcPr>
            <w:tcW w:w="3959"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lang w:eastAsia="en-IN"/>
              </w:rPr>
            </w:pPr>
          </w:p>
        </w:tc>
        <w:tc>
          <w:tcPr>
            <w:tcW w:w="878"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bCs/>
                <w:lang w:eastAsia="en-IN"/>
              </w:rPr>
            </w:pPr>
          </w:p>
        </w:tc>
        <w:tc>
          <w:tcPr>
            <w:tcW w:w="2423" w:type="dxa"/>
            <w:shd w:val="clear" w:color="auto" w:fill="DDD9C3" w:themeFill="background2" w:themeFillShade="E6"/>
            <w:hideMark/>
          </w:tcPr>
          <w:p w:rsidR="00837D41" w:rsidRPr="00A32FA0" w:rsidRDefault="00837D41" w:rsidP="00501C34">
            <w:pPr>
              <w:spacing w:before="40" w:after="40" w:line="262" w:lineRule="auto"/>
              <w:jc w:val="both"/>
              <w:rPr>
                <w:rFonts w:eastAsia="Times New Roman" w:cstheme="minorHAnsi"/>
                <w:b/>
                <w:lang w:eastAsia="en-IN"/>
              </w:rPr>
            </w:pPr>
          </w:p>
        </w:tc>
        <w:tc>
          <w:tcPr>
            <w:tcW w:w="1049" w:type="dxa"/>
            <w:shd w:val="clear" w:color="auto" w:fill="DDD9C3" w:themeFill="background2" w:themeFillShade="E6"/>
          </w:tcPr>
          <w:p w:rsidR="00837D41" w:rsidRPr="00A32FA0" w:rsidRDefault="00837D41" w:rsidP="00501C34">
            <w:pPr>
              <w:spacing w:before="40" w:after="40" w:line="262" w:lineRule="auto"/>
              <w:jc w:val="both"/>
              <w:rPr>
                <w:rFonts w:eastAsia="Times New Roman" w:cstheme="minorHAnsi"/>
                <w:b/>
                <w:lang w:eastAsia="en-IN"/>
              </w:rPr>
            </w:pPr>
          </w:p>
        </w:tc>
        <w:tc>
          <w:tcPr>
            <w:tcW w:w="1049" w:type="dxa"/>
            <w:shd w:val="clear" w:color="auto" w:fill="DDD9C3" w:themeFill="background2" w:themeFillShade="E6"/>
          </w:tcPr>
          <w:p w:rsidR="00837D41" w:rsidRPr="00A32FA0" w:rsidRDefault="00837D41" w:rsidP="00501C34">
            <w:pPr>
              <w:spacing w:before="40" w:after="40" w:line="262" w:lineRule="auto"/>
              <w:jc w:val="both"/>
              <w:rPr>
                <w:rFonts w:eastAsia="Times New Roman" w:cstheme="minorHAnsi"/>
                <w:b/>
                <w:lang w:eastAsia="en-IN"/>
              </w:rPr>
            </w:pPr>
          </w:p>
        </w:tc>
      </w:tr>
    </w:tbl>
    <w:p w:rsidR="00281032" w:rsidRDefault="00937C0F"/>
    <w:sectPr w:rsidR="00281032" w:rsidSect="00937C0F">
      <w:pgSz w:w="16839" w:h="11907" w:orient="landscape" w:code="9"/>
      <w:pgMar w:top="851" w:right="1440" w:bottom="851"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E29DC"/>
    <w:multiLevelType w:val="hybridMultilevel"/>
    <w:tmpl w:val="27949D6C"/>
    <w:lvl w:ilvl="0" w:tplc="6B98FF06">
      <w:start w:val="1"/>
      <w:numFmt w:val="decimal"/>
      <w:lvlText w:val="%1."/>
      <w:lvlJc w:val="left"/>
      <w:pPr>
        <w:ind w:left="720" w:hanging="360"/>
      </w:pPr>
      <w:rPr>
        <w:rFonts w:hint="default"/>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37D41"/>
    <w:rsid w:val="00070A55"/>
    <w:rsid w:val="001014E7"/>
    <w:rsid w:val="0013640A"/>
    <w:rsid w:val="0063634E"/>
    <w:rsid w:val="00722B53"/>
    <w:rsid w:val="00837D41"/>
    <w:rsid w:val="00937C0F"/>
    <w:rsid w:val="00A4579C"/>
    <w:rsid w:val="00B31052"/>
    <w:rsid w:val="00FB23A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D41"/>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GLText List Paragraph"/>
    <w:basedOn w:val="Normal"/>
    <w:link w:val="ListParagraphChar"/>
    <w:uiPriority w:val="34"/>
    <w:qFormat/>
    <w:rsid w:val="00837D41"/>
    <w:pPr>
      <w:ind w:left="720"/>
      <w:contextualSpacing/>
    </w:pPr>
  </w:style>
  <w:style w:type="character" w:customStyle="1" w:styleId="ListParagraphChar">
    <w:name w:val="List Paragraph Char"/>
    <w:aliases w:val="SGLText List Paragraph Char"/>
    <w:link w:val="ListParagraph"/>
    <w:uiPriority w:val="34"/>
    <w:locked/>
    <w:rsid w:val="00837D41"/>
    <w:rPr>
      <w:rFonts w:eastAsiaTheme="minorEastAsia"/>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Documents</dc:creator>
  <cp:lastModifiedBy>My Documents</cp:lastModifiedBy>
  <cp:revision>6</cp:revision>
  <dcterms:created xsi:type="dcterms:W3CDTF">2014-04-28T09:33:00Z</dcterms:created>
  <dcterms:modified xsi:type="dcterms:W3CDTF">2014-04-28T09:46:00Z</dcterms:modified>
</cp:coreProperties>
</file>